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  <w:tabs>
          <w:tab w:leader="none" w:pos="510" w:val="left"/>
          <w:tab w:leader="none" w:pos="540" w:val="left"/>
          <w:tab w:leader="none" w:pos="570" w:val="left"/>
          <w:tab w:leader="none" w:pos="709" w:val="left"/>
          <w:tab w:leader="none" w:pos="780" w:val="left"/>
          <w:tab w:leader="none" w:pos="810" w:val="left"/>
        </w:tabs>
      </w:pPr>
      <w:r>
        <w:rPr>
          <w:sz w:val="22"/>
          <w:szCs w:val="22"/>
        </w:rPr>
        <w:t>Ежемесячная выплата на ребенка в возрасте от трех до семи лет включительно</w:t>
      </w:r>
    </w:p>
    <w:p>
      <w:pPr>
        <w:pStyle w:val="style0"/>
        <w:tabs>
          <w:tab w:leader="none" w:pos="510" w:val="left"/>
          <w:tab w:leader="none" w:pos="540" w:val="left"/>
          <w:tab w:leader="none" w:pos="570" w:val="left"/>
          <w:tab w:leader="none" w:pos="709" w:val="left"/>
          <w:tab w:leader="none" w:pos="780" w:val="left"/>
          <w:tab w:leader="none" w:pos="810" w:val="left"/>
        </w:tabs>
      </w:pPr>
      <w:r>
        <w:rPr/>
      </w:r>
    </w:p>
    <w:p>
      <w:pPr>
        <w:pStyle w:val="style0"/>
        <w:jc w:val="both"/>
        <w:tabs>
          <w:tab w:leader="none" w:pos="510" w:val="left"/>
          <w:tab w:leader="none" w:pos="540" w:val="left"/>
          <w:tab w:leader="none" w:pos="570" w:val="left"/>
          <w:tab w:leader="none" w:pos="709" w:val="left"/>
          <w:tab w:leader="none" w:pos="780" w:val="left"/>
          <w:tab w:leader="none" w:pos="810" w:val="left"/>
        </w:tabs>
      </w:pPr>
      <w:r>
        <w:rPr>
          <w:sz w:val="22"/>
          <w:szCs w:val="22"/>
        </w:rPr>
        <w:t xml:space="preserve">          </w:t>
      </w:r>
      <w:r>
        <w:rPr>
          <w:sz w:val="22"/>
          <w:szCs w:val="22"/>
        </w:rPr>
        <w:t>Постановлением правительства Республики Мордовия от 7 мая 2020г. №271 «Об утверждении Положения о порядке и условиях предоставления ежемесячной денежной выплаты на ребенка от трех до семи лет включительно» внесены изменения в Положение о порядке и условиях предоставления  ежемесячной денежной выплаты на ребенка от трех до семи лет включительно.</w:t>
      </w:r>
    </w:p>
    <w:p>
      <w:pPr>
        <w:pStyle w:val="style0"/>
        <w:jc w:val="both"/>
      </w:pPr>
      <w:r>
        <w:rPr>
          <w:sz w:val="22"/>
          <w:szCs w:val="22"/>
        </w:rPr>
        <w:t xml:space="preserve">          </w:t>
      </w:r>
      <w:r>
        <w:rPr>
          <w:sz w:val="22"/>
          <w:szCs w:val="22"/>
        </w:rPr>
        <w:t xml:space="preserve">Ежемесячная выплата  с 2021 г. будет осуществляться в размере </w:t>
        <w:tab/>
        <w:t>50,75 или 100 процентов величины прожиточного минимума для детей, установленной в  Республике Мордовия в соответствии с Федеральным законом от 24 октября 1997 г. № 134-ФЗ  «О прожиточном минимуме в Российской Федерации».</w:t>
      </w:r>
    </w:p>
    <w:p>
      <w:pPr>
        <w:pStyle w:val="style0"/>
        <w:jc w:val="both"/>
      </w:pP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>Перерасчет размера ежемесячной выплаты производится гражданам, которым назначена ежемесячная выплата,обращение граждан за перерасчетом ежемесячной выплаты осуществляется начиная с 1 апреля 2021г.,но не позднее 31 декабря 2021г.,посредством подачи заявления в электронном виде с использованием федеральной государственной информационной системы «Единый портал государственных и муниципальных услуг».</w:t>
      </w:r>
    </w:p>
    <w:p>
      <w:pPr>
        <w:pStyle w:val="style0"/>
        <w:jc w:val="both"/>
      </w:pP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>В случае если гражданину отказано в перерасчете ежемесячной выплаты,ежемесячная выплата продолжает осуществляться в ранее установленном размере до истечения 12-месячного срока,на который она была назначена.</w:t>
      </w:r>
    </w:p>
    <w:p>
      <w:pPr>
        <w:pStyle w:val="style0"/>
        <w:jc w:val="both"/>
      </w:pPr>
      <w:r>
        <w:rPr>
          <w:sz w:val="22"/>
          <w:szCs w:val="22"/>
          <w:rFonts w:cs="Times New Roman"/>
        </w:rPr>
        <w:t xml:space="preserve">         </w:t>
      </w:r>
      <w:r>
        <w:rPr>
          <w:sz w:val="22"/>
          <w:szCs w:val="22"/>
          <w:rFonts w:cs="Times New Roman"/>
        </w:rPr>
        <w:t>Право на получение ежемесячной выплаты возникает в случае, если ребенок является гражданином Российской Федерации и хотя бы один из родителей или иной законный представитель ребенка, является гражданином Российской Федерации и проживает на территории Республики Мордовия.</w:t>
      </w:r>
    </w:p>
    <w:p>
      <w:pPr>
        <w:pStyle w:val="style0"/>
        <w:jc w:val="both"/>
      </w:pPr>
      <w:r>
        <w:rPr>
          <w:sz w:val="22"/>
          <w:szCs w:val="22"/>
          <w:rFonts w:cs="Times New Roman"/>
        </w:rPr>
        <w:t xml:space="preserve">         </w:t>
      </w:r>
      <w:r>
        <w:rPr>
          <w:sz w:val="22"/>
          <w:szCs w:val="22"/>
          <w:rFonts w:cs="Times New Roman"/>
        </w:rPr>
        <w:t>Ежемесячная выплата осуществляется со дня достижения ребенком возраста 3 лет, но не ранее 1 января 2020 г., до достижения ребенком возраста 8 лет.</w:t>
      </w:r>
    </w:p>
    <w:p>
      <w:pPr>
        <w:pStyle w:val="style0"/>
        <w:jc w:val="both"/>
      </w:pPr>
      <w:r>
        <w:rPr>
          <w:sz w:val="22"/>
          <w:szCs w:val="22"/>
          <w:rFonts w:cs="Times New Roman"/>
        </w:rPr>
        <w:t xml:space="preserve">         </w:t>
      </w:r>
      <w:r>
        <w:rPr>
          <w:sz w:val="22"/>
          <w:szCs w:val="22"/>
          <w:rFonts w:cs="Times New Roman"/>
        </w:rPr>
        <w:t>Начиная с 2021 года, ежемесячная выплата осуществляется со дня достижения ребенком возраста 3 лет, если обращение за ее назначением последовало не позднее 6 месяцев с этого дня. В остальных случаях ежемесячная выплата осуществляется со дня обращения за ее назначением.</w:t>
      </w:r>
    </w:p>
    <w:p>
      <w:pPr>
        <w:pStyle w:val="style0"/>
        <w:jc w:val="both"/>
      </w:pPr>
      <w:r>
        <w:rPr>
          <w:sz w:val="22"/>
          <w:szCs w:val="22"/>
          <w:rFonts w:cs="Times New Roman"/>
        </w:rPr>
        <w:t xml:space="preserve">        </w:t>
      </w:r>
      <w:r>
        <w:rPr>
          <w:sz w:val="28"/>
          <w:szCs w:val="28"/>
          <w:rFonts w:cs="Times New Roman"/>
        </w:rPr>
        <w:t xml:space="preserve"> </w:t>
      </w:r>
      <w:r>
        <w:rPr>
          <w:sz w:val="22"/>
          <w:szCs w:val="22"/>
          <w:rFonts w:cs="Times New Roman"/>
        </w:rPr>
        <w:t>В случае наличия в семье нескольких детей в возрасте от 3 до 7 лет включительно ежемесячная выплата осуществляется на каждого ребенка.</w:t>
      </w:r>
    </w:p>
    <w:p>
      <w:pPr>
        <w:pStyle w:val="style20"/>
        <w:jc w:val="both"/>
        <w:ind w:hanging="0" w:left="0" w:right="0"/>
      </w:pPr>
      <w:r>
        <w:rPr>
          <w:sz w:val="22"/>
          <w:szCs w:val="22"/>
        </w:rPr>
        <w:t xml:space="preserve">      </w:t>
      </w:r>
      <w:r>
        <w:rPr>
          <w:sz w:val="22"/>
          <w:szCs w:val="22"/>
        </w:rPr>
        <w:t>Ежемесячная выплата устанавливается на 12 месяцев. Назначение ежемесячной выплаты в очередном году осуществляется по истечении 12 месяцев со дня предыдущего обращения.</w:t>
      </w:r>
    </w:p>
    <w:p>
      <w:pPr>
        <w:pStyle w:val="style20"/>
        <w:jc w:val="both"/>
        <w:ind w:hanging="0" w:left="0" w:right="0"/>
      </w:pPr>
      <w:r>
        <w:rPr>
          <w:sz w:val="22"/>
          <w:szCs w:val="22"/>
        </w:rPr>
        <w:t xml:space="preserve">           </w:t>
      </w:r>
      <w:r>
        <w:rPr>
          <w:sz w:val="22"/>
          <w:szCs w:val="22"/>
        </w:rPr>
        <w:t xml:space="preserve">В состав семьи, учитываемый при расчете среднедушевого дохода семьи, включаются родитель (в том числе усыновитель), опекун ребенка, подавший заявление, его супруг, несовершеннолетние дети и дети в возрасте до 23 лет, обучающиеся </w:t>
      </w:r>
      <w:r>
        <w:rPr>
          <w:color w:val="00000A"/>
          <w:sz w:val="22"/>
          <w:szCs w:val="22"/>
        </w:rPr>
        <w:t>в общеобразовательных учреждениях либо образовательных учреждениях среднего профессионального или</w:t>
      </w:r>
      <w:r>
        <w:rPr>
          <w:color w:val="800000"/>
          <w:sz w:val="22"/>
          <w:szCs w:val="22"/>
        </w:rPr>
        <w:t xml:space="preserve"> </w:t>
      </w:r>
      <w:r>
        <w:rPr>
          <w:sz w:val="22"/>
          <w:szCs w:val="22"/>
        </w:rPr>
        <w:t>высшего образования по очной форме обучения, в том числе находящиеся под опекой.</w:t>
      </w:r>
    </w:p>
    <w:p>
      <w:pPr>
        <w:pStyle w:val="style20"/>
        <w:jc w:val="both"/>
        <w:ind w:hanging="0" w:left="0" w:right="0"/>
      </w:pPr>
      <w:r>
        <w:rPr>
          <w:sz w:val="22"/>
          <w:szCs w:val="22"/>
        </w:rPr>
        <w:t xml:space="preserve">          </w:t>
      </w:r>
      <w:r>
        <w:rPr>
          <w:sz w:val="22"/>
          <w:szCs w:val="22"/>
        </w:rPr>
        <w:t>При расчете среднедушевого дохода учитываются все виды денежных поступлений в семейный бюджет за последние 12 календарных месяцев,предшествующих 4 календарным месяцам перед месяцем подачи заявления о назначении ежемесячной выплаты. Также в доход семьи будет учитываться наличие в собственности у заявителя и членов его семьи зданий с назначением «жилое» и «жилое строение»,помещений с назначением «жилое»и «жилое помещение»,зданий с назначением «жилой дом», земельных участков, наличие зарегистрированного на заявителя или членов его семьи автотранспортного (мототранспортного) средства.</w:t>
      </w:r>
    </w:p>
    <w:p>
      <w:pPr>
        <w:pStyle w:val="style20"/>
        <w:jc w:val="both"/>
        <w:ind w:hanging="0" w:left="0" w:right="0"/>
      </w:pPr>
      <w:r>
        <w:rPr>
          <w:sz w:val="22"/>
          <w:szCs w:val="22"/>
        </w:rPr>
        <w:t xml:space="preserve">          </w:t>
      </w:r>
      <w:r>
        <w:rPr>
          <w:sz w:val="22"/>
          <w:szCs w:val="22"/>
        </w:rPr>
        <w:t>Основанием для отказа в назначении или перерасчете ежемесячной выплаты является: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государственная регистрация смерти ребенка, в отношении которого подано заявление;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</w:rPr>
        <w:t>превышение размера среднедушевого дохода семьи над величиной прожиточного минимума на душу населения, установленной в Республике Мордовия на дату обращения за назначением ежемесячной выплаты;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</w:rPr>
        <w:t>наличие в заявлении недостоверных или неполных данных;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</w:rPr>
        <w:t>наличие в собственности у заявителя и членов его семьи: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</w:rPr>
        <w:t>2 и более зданий с назначением «жилое» и «жилое строение», помещений с назначением «жилое» и «жилое помещение», суммарная площадь которых больше произведения норматива площади, установленной в Республике Мордовия, но не более 24 кв.метров в расчете на одного человека, на количество членов семьи (за исключением зданий с назначением «жилое» и «жилое строение», помещений с назначением «жилое» и «жилое помещение», предоставленных в рамках предоставления многодетной семье мер социальной поддержки органами социальной защиты;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</w:rPr>
        <w:t xml:space="preserve">2 и более зданий с назначением «жилой дом», суммарная площадь которых больше произведения норматива площади, установленной в Республике Мордовия, но не более 40кв.метров в расчете на одного человека, на количество членов семьи (за исключением здания с назначением «жилой дом», предоставленного в рамках предоставления многодетной семье мер социальной поддержки органами социальной защиты; 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</w:rPr>
        <w:t>2 и более зданий с назначением «садовый дом»;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</w:rPr>
        <w:t xml:space="preserve">2 и более зданий с назначением «нежилое», помещений </w:t>
        <w:br/>
        <w:t>с назначением «нежилое», сооружений (за исключением хозяйственных построек, расположенных на земельных участках, предназначенных для индивидуального жилищного строительства, ведения личного подсобного хозяйства, садовых земельных участках, а также объектов недвижимого имущества, являющихся общим имуществом в многоквартирном доме, объектов недвижимого имущества, являющихся имуществом общего пользования садоводческого или огороднического некоммерческого товарищества);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</w:rPr>
        <w:t>2 и более объектов недвижимого имущества, предназначенных для стоянки (хранения), ремонта и технического обслуживания транспортных средств (гараж, машино-место) (3 и более таких объектов недвижимого имущества - для многодетных семей, семей, в составе которых есть инвалид, семей, которым выдано автотранспортное или мототраспортное средство в рамках предоставления мер социальной поддержки органами социальной защиты);</w:t>
      </w:r>
    </w:p>
    <w:p>
      <w:pPr>
        <w:pStyle w:val="style0"/>
        <w:jc w:val="both"/>
      </w:pPr>
      <w:r>
        <w:rPr>
          <w:sz w:val="22"/>
          <w:szCs w:val="22"/>
        </w:rPr>
        <w:tab/>
        <w:t>земельных участков (за исключением находящихся в общей долевой собственности земельных участков и земель сельскохозяйственного назначения, оборот которых регулируется Федеральным законом от 24 июля 2002 г. № 101-ФЗ «Об обороте земель сельскохозяйственного назначения», земельных участков, предоставленных многодетной семье в рамках предоставления мер социальной поддержки, земельных участков, предоставленных в соответствии с Федеральным законом от 1 мая 2016 года №119-ФЗ  «Об особенностях предоставления гражданам земельных участков, находящихся в государственной или муниципальной собственности и расположенных на территориях субъектов Российской Федерации, входящих в состав Дальневосточного федерального округа, и о внесении изменений в отдельные законодательные акты Российской Федерации»), суммарная площадь которых превышает 0,25 гектара, а для территории сельских поселений или межселенных территорий – 1 гектар; наличие зарегистрированных на заявителя или членов его семьи: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</w:rPr>
        <w:t>2 и более автотранспортных средств (3 и более автотранспортных средств - для многодетных семей, семей, в составе которых есть инвалид, семей, которым автотранспортное средство выдано в рамках предоставления мер социальной поддержки органами социальной защиты);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</w:rPr>
        <w:t>2 и более мототранспортных средств (3 и более мототранспортных средств - для многодетных семей, семей, в составе которых есть инвалид, семей, которым мототранспортное средство выдано в рамках предоставления мер социальной поддержки органами социальной защиты);</w:t>
      </w:r>
    </w:p>
    <w:p>
      <w:pPr>
        <w:pStyle w:val="style0"/>
        <w:jc w:val="left"/>
        <w:ind w:firstLine="709" w:left="0" w:right="0"/>
      </w:pPr>
      <w:r>
        <w:rPr>
          <w:sz w:val="22"/>
          <w:szCs w:val="22"/>
        </w:rPr>
        <w:t xml:space="preserve">автотранспортного средства с мощностью двигателя не менее 250 лошадиных сил, год выпуска которого не превышает 5лет, </w:t>
        <w:br/>
        <w:t>за исключением автотранспортного средства, имеющего более 5мест, полученного (приобретенного) семьей с 4 и более детьми;</w:t>
      </w:r>
    </w:p>
    <w:p>
      <w:pPr>
        <w:pStyle w:val="style0"/>
        <w:jc w:val="left"/>
        <w:ind w:firstLine="709" w:left="0" w:right="0"/>
      </w:pPr>
      <w:r>
        <w:rPr>
          <w:sz w:val="22"/>
          <w:szCs w:val="22"/>
        </w:rPr>
        <w:t>2 и более самоходных машин и других видов техники, год выпуска которых не превышает 5 лет, зарегистрированных в Республике Мордовия;</w:t>
      </w:r>
    </w:p>
    <w:p>
      <w:pPr>
        <w:pStyle w:val="style0"/>
        <w:jc w:val="left"/>
        <w:ind w:firstLine="709" w:left="0" w:right="0"/>
      </w:pPr>
      <w:r>
        <w:rPr>
          <w:sz w:val="22"/>
          <w:szCs w:val="22"/>
        </w:rPr>
        <w:t>наличие у заявителя и членов его семьи среднедушевого дохода, превышающего величину прожиточного минимума на душу населения в целом по Российской Федерации, установленную на дату обращения за назначением ежемесячной выплаты, в виде процентов, начисленных на остаток средств на депозитных счетах (вкладах), открытых в кредитных организациях.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</w:rPr>
        <w:t>В 2021 году вводится правило «нулевого дохода». Если родители не работают, не встают на учет службы занятости и не получают иных доходов, то пособие на ребенка им назначают только при наличии объективных причин:декрет и отпуск по уходу за ребенком, уход за инвалидом,длительное лечение (дольше 3 месяцев),уход за детьми, в случае,если  это один из родителей из многодетной семьи, если в семье только один родитель.</w:t>
      </w:r>
    </w:p>
    <w:p>
      <w:pPr>
        <w:pStyle w:val="style0"/>
        <w:jc w:val="both"/>
        <w:ind w:firstLine="709" w:left="0" w:right="0"/>
      </w:pPr>
      <w:r>
        <w:rPr/>
      </w:r>
    </w:p>
    <w:p>
      <w:pPr>
        <w:pStyle w:val="style0"/>
        <w:jc w:val="both"/>
        <w:ind w:firstLine="709" w:left="0" w:right="0"/>
      </w:pPr>
      <w:r>
        <w:rPr>
          <w:sz w:val="28"/>
          <w:szCs w:val="28"/>
        </w:rPr>
        <w:t xml:space="preserve"> </w:t>
      </w:r>
      <w:r>
        <w:rPr>
          <w:sz w:val="22"/>
          <w:szCs w:val="22"/>
        </w:rPr>
        <w:t>За более подробной информацией необходимо обращаться в ГКУ «Соцзащита населения по Инсарскому району РМ (межрайонная)» по адресу: Республика Мордовия, Инсарский район, г.Инсар, ул.Советская, 76, тел. (883449) 2-11-63 или Республика Мордовия, Кадошкинский район, п.Кадошкино, ул. Октябрьская, 7, тел. (883448) 2- 32 -24.</w:t>
      </w:r>
    </w:p>
    <w:sectPr>
      <w:formProt w:val="off"/>
      <w:pgSz w:h="16838" w:w="11906"/>
      <w:docGrid w:charSpace="0" w:linePitch="240" w:type="default"/>
      <w:textDirection w:val="lrTb"/>
      <w:pgNumType w:fmt="decimal"/>
      <w:type w:val="nextPage"/>
      <w:pgMar w:bottom="1134" w:left="1134" w:right="1134" w:top="1134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lvlJc w:val="left"/>
      <w:suff w:val="nothing"/>
      <w:lvlText w:val=""/>
      <w:pPr>
        <w:ind w:hanging="432" w:left="432"/>
      </w:pPr>
    </w:lvl>
    <w:lvl w:ilvl="1">
      <w:start w:val="1"/>
      <w:numFmt w:val="none"/>
      <w:lvlJc w:val="left"/>
      <w:suff w:val="nothing"/>
      <w:lvlText w:val=""/>
      <w:pPr>
        <w:ind w:hanging="576" w:left="576"/>
      </w:pPr>
    </w:lvl>
    <w:lvl w:ilvl="2">
      <w:start w:val="1"/>
      <w:numFmt w:val="none"/>
      <w:lvlJc w:val="left"/>
      <w:suff w:val="nothing"/>
      <w:lvlText w:val=""/>
      <w:pPr>
        <w:ind w:hanging="720" w:left="720"/>
      </w:pPr>
    </w:lvl>
    <w:lvl w:ilvl="3">
      <w:start w:val="1"/>
      <w:numFmt w:val="none"/>
      <w:lvlJc w:val="left"/>
      <w:suff w:val="nothing"/>
      <w:lvlText w:val=""/>
      <w:pPr>
        <w:ind w:hanging="864" w:left="864"/>
      </w:pPr>
    </w:lvl>
    <w:lvl w:ilvl="4">
      <w:start w:val="1"/>
      <w:numFmt w:val="none"/>
      <w:lvlJc w:val="left"/>
      <w:suff w:val="nothing"/>
      <w:lvlText w:val=""/>
      <w:pPr>
        <w:ind w:hanging="1008" w:left="1008"/>
      </w:pPr>
    </w:lvl>
    <w:lvl w:ilvl="5">
      <w:start w:val="1"/>
      <w:numFmt w:val="none"/>
      <w:lvlJc w:val="left"/>
      <w:suff w:val="nothing"/>
      <w:lvlText w:val=""/>
      <w:pPr>
        <w:ind w:hanging="1152" w:left="1152"/>
      </w:pPr>
    </w:lvl>
    <w:lvl w:ilvl="6">
      <w:start w:val="1"/>
      <w:numFmt w:val="none"/>
      <w:lvlJc w:val="left"/>
      <w:suff w:val="nothing"/>
      <w:lvlText w:val=""/>
      <w:pPr>
        <w:ind w:hanging="1296" w:left="1296"/>
      </w:pPr>
    </w:lvl>
    <w:lvl w:ilvl="7">
      <w:start w:val="1"/>
      <w:numFmt w:val="none"/>
      <w:lvlJc w:val="left"/>
      <w:suff w:val="nothing"/>
      <w:lvlText w:val=""/>
      <w:pPr>
        <w:ind w:hanging="1440" w:left="1440"/>
      </w:pPr>
    </w:lvl>
    <w:lvl w:ilvl="8">
      <w:start w:val="1"/>
      <w:numFmt w:val="none"/>
      <w:lvlJc w:val="left"/>
      <w:suff w:val="nothing"/>
      <w:lvlText w:val=""/>
      <w:pPr>
        <w:ind w:hanging="1584" w:left="1584"/>
      </w:pPr>
    </w:lvl>
  </w:abstractNum>
  <w:num w:numId="1">
    <w:abstractNumId w:val="1"/>
  </w:num>
</w:numbering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jc w:val="left"/>
      <w:widowControl w:val="off"/>
      <w:tabs>
        <w:tab w:leader="none" w:pos="709" w:val="left"/>
      </w:tabs>
      <w:suppressAutoHyphens w:val="true"/>
    </w:pPr>
    <w:rPr>
      <w:color w:val="00000A"/>
      <w:sz w:val="24"/>
      <w:szCs w:val="24"/>
      <w:rFonts w:ascii="Times New Roman" w:cs="Mangal" w:eastAsia="Lucida Sans Unicode" w:hAnsi="Times New Roman"/>
      <w:lang w:bidi="hi-IN" w:eastAsia="zh-CN" w:val="ru-RU"/>
    </w:rPr>
  </w:style>
  <w:style w:styleId="style1" w:type="paragraph">
    <w:name w:val="Заголовок 1"/>
    <w:basedOn w:val="style0"/>
    <w:next w:val="style16"/>
    <w:pPr>
      <w:outlineLvl w:val="0"/>
      <w:numPr>
        <w:ilvl w:val="0"/>
        <w:numId w:val="1"/>
      </w:numPr>
      <w:jc w:val="center"/>
      <w:ind w:hanging="0" w:left="0" w:right="-341"/>
      <w:keepNext/>
    </w:pPr>
    <w:rPr>
      <w:sz w:val="24"/>
      <w:b/>
      <w:szCs w:val="28"/>
      <w:bCs/>
    </w:rPr>
  </w:style>
  <w:style w:styleId="style15" w:type="paragraph">
    <w:name w:val="Заголовок"/>
    <w:basedOn w:val="style0"/>
    <w:next w:val="style16"/>
    <w:pPr>
      <w:keepNext/>
      <w:spacing w:after="120" w:before="240"/>
    </w:pPr>
    <w:rPr>
      <w:sz w:val="28"/>
      <w:szCs w:val="28"/>
      <w:rFonts w:ascii="Arial" w:cs="Mangal" w:eastAsia="Lucida Sans Unicode" w:hAnsi="Arial"/>
    </w:rPr>
  </w:style>
  <w:style w:styleId="style16" w:type="paragraph">
    <w:name w:val="Основной текст"/>
    <w:basedOn w:val="style0"/>
    <w:next w:val="style16"/>
    <w:pPr>
      <w:spacing w:after="120" w:before="0"/>
    </w:pPr>
    <w:rPr/>
  </w:style>
  <w:style w:styleId="style17" w:type="paragraph">
    <w:name w:val="Список"/>
    <w:basedOn w:val="style16"/>
    <w:next w:val="style17"/>
    <w:pPr/>
    <w:rPr>
      <w:rFonts w:cs="Mangal"/>
    </w:rPr>
  </w:style>
  <w:style w:styleId="style18" w:type="paragraph">
    <w:name w:val="Название"/>
    <w:basedOn w:val="style0"/>
    <w:next w:val="style18"/>
    <w:pPr>
      <w:suppressLineNumbers/>
      <w:spacing w:after="120" w:before="120"/>
    </w:pPr>
    <w:rPr>
      <w:sz w:val="24"/>
      <w:i/>
      <w:szCs w:val="24"/>
      <w:iCs/>
      <w:rFonts w:cs="Mangal"/>
    </w:rPr>
  </w:style>
  <w:style w:styleId="style19" w:type="paragraph">
    <w:name w:val="Указатель"/>
    <w:basedOn w:val="style0"/>
    <w:next w:val="style19"/>
    <w:pPr>
      <w:suppressLineNumbers/>
    </w:pPr>
    <w:rPr>
      <w:rFonts w:cs="Mangal"/>
    </w:rPr>
  </w:style>
  <w:style w:styleId="style20" w:type="paragraph">
    <w:name w:val="ConsPlusNormal"/>
    <w:next w:val="style20"/>
    <w:pPr>
      <w:widowControl w:val="off"/>
      <w:tabs>
        <w:tab w:leader="none" w:pos="709" w:val="left"/>
      </w:tabs>
      <w:suppressAutoHyphens w:val="true"/>
    </w:pPr>
    <w:rPr>
      <w:color w:val="auto"/>
      <w:sz w:val="24"/>
      <w:szCs w:val="24"/>
      <w:rFonts w:ascii="Times New Roman" w:cs="Mangal" w:eastAsia="Lucida Sans Unicode" w:hAnsi="Times New Roman"/>
      <w:lang w:bidi="hi-IN" w:eastAsia="zh-CN"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OpenOffice.org/3.2$Win32 OpenOffice.org_project/320m19$Build-9505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2021-04-28T10:09:26.00Z</dcterms:created>
  <cp:revision>0</cp:revision>
</cp:coreProperties>
</file>