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9720C">
        <w:rPr>
          <w:rFonts w:ascii="Times New Roman" w:hAnsi="Times New Roman"/>
          <w:b/>
          <w:sz w:val="24"/>
          <w:szCs w:val="24"/>
        </w:rPr>
        <w:t>КСПЕРТНОЕ ЗАКЛЮЧЕНИЕ № 394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A9720C">
        <w:rPr>
          <w:rFonts w:ascii="Times New Roman" w:hAnsi="Times New Roman"/>
          <w:b/>
          <w:sz w:val="24"/>
          <w:szCs w:val="24"/>
        </w:rPr>
        <w:t>О</w:t>
      </w:r>
      <w:r w:rsidR="00A9720C" w:rsidRPr="00A9720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A9720C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A9720C" w:rsidRPr="00A9720C">
        <w:rPr>
          <w:rFonts w:ascii="Times New Roman" w:hAnsi="Times New Roman"/>
          <w:b/>
          <w:sz w:val="24"/>
          <w:szCs w:val="24"/>
        </w:rPr>
        <w:t>редоставление земельных участков гражданам и юридическим лицам, на которых расположены объекты недвижимости»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9720C" w:rsidRPr="00A9720C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муниципальной услуги «Предоставление земельных участков гражданам и юридическим лицам, на которых расположены объекты недвижимости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400</Words>
  <Characters>2282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141</cp:revision>
  <dcterms:created xsi:type="dcterms:W3CDTF">2016-02-10T13:46:00Z</dcterms:created>
  <dcterms:modified xsi:type="dcterms:W3CDTF">2016-03-30T08:36:00Z</dcterms:modified>
</cp:coreProperties>
</file>